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628" w:rsidRDefault="00D05628"/>
    <w:p w:rsidR="00057877" w:rsidRDefault="00057877"/>
    <w:p w:rsidR="00057877" w:rsidRPr="00057877" w:rsidRDefault="00057877"/>
    <w:p w:rsidR="00057877" w:rsidRPr="00057877" w:rsidRDefault="00057877" w:rsidP="00057877">
      <w:pPr>
        <w:pStyle w:val="NormalWeb"/>
        <w:jc w:val="center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b/>
          <w:bCs/>
          <w:color w:val="000000"/>
        </w:rPr>
        <w:t>Summary of Benefit Changes for CCFA Members</w:t>
      </w:r>
    </w:p>
    <w:p w:rsidR="00057877" w:rsidRPr="00057877" w:rsidRDefault="00057877" w:rsidP="00057877">
      <w:pPr>
        <w:pStyle w:val="NormalWeb"/>
        <w:rPr>
          <w:rFonts w:asciiTheme="minorHAnsi" w:hAnsiTheme="minorHAnsi"/>
          <w:bCs/>
          <w:color w:val="000000"/>
        </w:rPr>
      </w:pPr>
    </w:p>
    <w:p w:rsidR="00057877" w:rsidRPr="00057877" w:rsidRDefault="00057877" w:rsidP="00057877">
      <w:pPr>
        <w:pStyle w:val="NormalWeb"/>
        <w:rPr>
          <w:rFonts w:asciiTheme="minorHAnsi" w:hAnsiTheme="minorHAnsi"/>
          <w:bCs/>
          <w:color w:val="000000"/>
        </w:rPr>
      </w:pPr>
      <w:r w:rsidRPr="00057877">
        <w:rPr>
          <w:rFonts w:asciiTheme="minorHAnsi" w:hAnsiTheme="minorHAnsi"/>
          <w:bCs/>
          <w:color w:val="000000"/>
        </w:rPr>
        <w:t>*Please note that starting January 1, 2016, the deductible will increase from $25 to $50 per individual or family per year.</w:t>
      </w:r>
    </w:p>
    <w:p w:rsidR="00057877" w:rsidRPr="00057877" w:rsidRDefault="00057877" w:rsidP="00057877">
      <w:pPr>
        <w:pStyle w:val="NormalWeb"/>
        <w:rPr>
          <w:rFonts w:asciiTheme="minorHAnsi" w:hAnsiTheme="minorHAnsi"/>
          <w:b/>
          <w:bCs/>
          <w:color w:val="000000"/>
        </w:rPr>
      </w:pPr>
    </w:p>
    <w:p w:rsidR="00057877" w:rsidRDefault="00057877" w:rsidP="00057877">
      <w:pPr>
        <w:pStyle w:val="NormalWeb"/>
        <w:rPr>
          <w:rFonts w:asciiTheme="minorHAnsi" w:hAnsiTheme="minorHAnsi"/>
          <w:i/>
          <w:iCs/>
          <w:color w:val="000000"/>
        </w:rPr>
      </w:pPr>
      <w:r w:rsidRPr="00057877">
        <w:rPr>
          <w:rFonts w:asciiTheme="minorHAnsi" w:hAnsiTheme="minorHAnsi"/>
          <w:i/>
          <w:iCs/>
          <w:color w:val="000000"/>
        </w:rPr>
        <w:t>Starting January 1, 2016:</w:t>
      </w:r>
    </w:p>
    <w:p w:rsidR="00057877" w:rsidRPr="00057877" w:rsidRDefault="00057877" w:rsidP="00057877">
      <w:pPr>
        <w:pStyle w:val="NormalWeb"/>
        <w:rPr>
          <w:rFonts w:asciiTheme="minorHAnsi" w:hAnsiTheme="minorHAnsi"/>
          <w:i/>
          <w:iCs/>
          <w:color w:val="000000"/>
        </w:rPr>
      </w:pP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 xml:space="preserve">• Paramedical services will be reimbursed $10 per visit for the first five visits, rather than the first 12 visits, after which they will be reimbursed to the maximum amount allowable. This includes podiatry, chiropractic services, </w:t>
      </w:r>
      <w:proofErr w:type="gramStart"/>
      <w:r w:rsidRPr="00057877">
        <w:rPr>
          <w:rFonts w:asciiTheme="minorHAnsi" w:hAnsiTheme="minorHAnsi"/>
          <w:color w:val="000000"/>
        </w:rPr>
        <w:t>naturopathy</w:t>
      </w:r>
      <w:proofErr w:type="gramEnd"/>
      <w:r w:rsidRPr="00057877">
        <w:rPr>
          <w:rFonts w:asciiTheme="minorHAnsi" w:hAnsiTheme="minorHAnsi"/>
          <w:color w:val="000000"/>
        </w:rPr>
        <w:t>, physiotherapy, and massage therapy.</w:t>
      </w: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Clinical counsellors will be covered under the Psychological Services Plan</w:t>
      </w: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Dental implants will be covered up to the cost of alternate treatment (i.e. bridges)</w:t>
      </w: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Podiatry and naturopathy coverage will increase from $200 up to $400</w:t>
      </w: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Speech therapy coverage will increase from $100 to $1000</w:t>
      </w: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Registered psychologist and clinical counsellor coverage will increase from $1200 to $1500</w:t>
      </w: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Hearing aid coverage of $1000 will be available every three years</w:t>
      </w:r>
    </w:p>
    <w:p w:rsidR="00057877" w:rsidRPr="00057877" w:rsidRDefault="00057877" w:rsidP="00057877">
      <w:pPr>
        <w:pStyle w:val="NormalWeb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 </w:t>
      </w:r>
    </w:p>
    <w:p w:rsidR="00057877" w:rsidRDefault="00057877" w:rsidP="00057877">
      <w:pPr>
        <w:pStyle w:val="NormalWeb"/>
        <w:rPr>
          <w:rFonts w:asciiTheme="minorHAnsi" w:hAnsiTheme="minorHAnsi"/>
          <w:i/>
          <w:iCs/>
          <w:color w:val="000000"/>
        </w:rPr>
      </w:pPr>
      <w:r w:rsidRPr="00057877">
        <w:rPr>
          <w:rFonts w:asciiTheme="minorHAnsi" w:hAnsiTheme="minorHAnsi"/>
          <w:i/>
          <w:iCs/>
          <w:color w:val="000000"/>
        </w:rPr>
        <w:t>Starting January 1, 2017:</w:t>
      </w:r>
    </w:p>
    <w:p w:rsidR="00057877" w:rsidRPr="00057877" w:rsidRDefault="00057877" w:rsidP="00057877">
      <w:pPr>
        <w:pStyle w:val="NormalWeb"/>
        <w:rPr>
          <w:rFonts w:asciiTheme="minorHAnsi" w:hAnsiTheme="minorHAnsi"/>
          <w:color w:val="000000"/>
        </w:rPr>
      </w:pP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Acupuncture coverage will increase from $100 to $300</w:t>
      </w:r>
    </w:p>
    <w:p w:rsid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Vision care will increase from $300 to $500</w:t>
      </w:r>
    </w:p>
    <w:p w:rsid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 xml:space="preserve">• </w:t>
      </w:r>
      <w:r>
        <w:rPr>
          <w:rFonts w:asciiTheme="minorHAnsi" w:hAnsiTheme="minorHAnsi"/>
          <w:color w:val="000000"/>
        </w:rPr>
        <w:t>BC MSP Medical has been increased to</w:t>
      </w:r>
      <w:bookmarkStart w:id="0" w:name="_GoBack"/>
      <w:bookmarkEnd w:id="0"/>
      <w:r>
        <w:rPr>
          <w:rFonts w:asciiTheme="minorHAnsi" w:hAnsiTheme="minorHAnsi"/>
          <w:color w:val="000000"/>
        </w:rPr>
        <w:t>:</w:t>
      </w:r>
    </w:p>
    <w:p w:rsidR="00057877" w:rsidRDefault="00057877" w:rsidP="00057877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Single: $75</w:t>
      </w:r>
    </w:p>
    <w:p w:rsidR="00057877" w:rsidRDefault="00057877" w:rsidP="00057877">
      <w:pPr>
        <w:pStyle w:val="NormalWeb"/>
        <w:numPr>
          <w:ilvl w:val="0"/>
          <w:numId w:val="2"/>
        </w:num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Family: $150</w:t>
      </w:r>
    </w:p>
    <w:p w:rsidR="00057877" w:rsidRPr="00057877" w:rsidRDefault="00057877" w:rsidP="00057877">
      <w:pPr>
        <w:pStyle w:val="NormalWeb"/>
        <w:rPr>
          <w:rFonts w:asciiTheme="minorHAnsi" w:hAnsiTheme="minorHAnsi"/>
          <w:color w:val="000000"/>
        </w:rPr>
      </w:pPr>
    </w:p>
    <w:p w:rsidR="00057877" w:rsidRPr="00057877" w:rsidRDefault="00057877" w:rsidP="00057877">
      <w:pPr>
        <w:pStyle w:val="NormalWeb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 </w:t>
      </w:r>
    </w:p>
    <w:p w:rsidR="00057877" w:rsidRDefault="00057877" w:rsidP="00057877">
      <w:pPr>
        <w:pStyle w:val="NormalWeb"/>
        <w:rPr>
          <w:rFonts w:asciiTheme="minorHAnsi" w:hAnsiTheme="minorHAnsi"/>
          <w:i/>
          <w:iCs/>
          <w:color w:val="000000"/>
        </w:rPr>
      </w:pPr>
      <w:r w:rsidRPr="00057877">
        <w:rPr>
          <w:rFonts w:asciiTheme="minorHAnsi" w:hAnsiTheme="minorHAnsi"/>
          <w:i/>
          <w:iCs/>
          <w:color w:val="000000"/>
        </w:rPr>
        <w:t>Starting January 1, 2018:</w:t>
      </w:r>
    </w:p>
    <w:p w:rsidR="00057877" w:rsidRPr="00057877" w:rsidRDefault="00057877" w:rsidP="00057877">
      <w:pPr>
        <w:pStyle w:val="NormalWeb"/>
        <w:rPr>
          <w:rFonts w:asciiTheme="minorHAnsi" w:hAnsiTheme="minorHAnsi"/>
          <w:color w:val="000000"/>
        </w:rPr>
      </w:pPr>
    </w:p>
    <w:p w:rsidR="00057877" w:rsidRPr="00057877" w:rsidRDefault="00057877" w:rsidP="00057877">
      <w:pPr>
        <w:pStyle w:val="NormalWeb"/>
        <w:ind w:left="720"/>
        <w:rPr>
          <w:rFonts w:asciiTheme="minorHAnsi" w:hAnsiTheme="minorHAnsi"/>
          <w:color w:val="000000"/>
        </w:rPr>
      </w:pPr>
      <w:r w:rsidRPr="00057877">
        <w:rPr>
          <w:rFonts w:asciiTheme="minorHAnsi" w:hAnsiTheme="minorHAnsi"/>
          <w:color w:val="000000"/>
        </w:rPr>
        <w:t>• Term employees will be eligible for dental coverage with single or successive appointments of 50% or higher for two terms or three quarters, with premiums shared with the employer on a pro-rated basis. Up until that time, term employees will require 10 successive months of employment at 100% to get this benefit.</w:t>
      </w:r>
    </w:p>
    <w:p w:rsidR="00057877" w:rsidRPr="00057877" w:rsidRDefault="00057877"/>
    <w:p w:rsidR="0046713D" w:rsidRPr="00057877" w:rsidRDefault="0046713D"/>
    <w:sectPr w:rsidR="0046713D" w:rsidRPr="00057877" w:rsidSect="00936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E41" w:rsidRDefault="00E44E41" w:rsidP="0093659A">
      <w:pPr>
        <w:spacing w:after="0" w:line="240" w:lineRule="auto"/>
      </w:pPr>
      <w:r>
        <w:separator/>
      </w:r>
    </w:p>
  </w:endnote>
  <w:endnote w:type="continuationSeparator" w:id="0">
    <w:p w:rsidR="00E44E41" w:rsidRDefault="00E44E41" w:rsidP="0093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9F" w:rsidRDefault="00194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9F" w:rsidRDefault="00194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9A" w:rsidRDefault="00057877" w:rsidP="0093659A">
    <w:pPr>
      <w:pStyle w:val="Footer"/>
      <w:jc w:val="center"/>
      <w:rPr>
        <w:rFonts w:ascii="Californian FB" w:hAnsi="Californian FB"/>
        <w:color w:val="000080"/>
      </w:rPr>
    </w:pPr>
    <w:r>
      <w:rPr>
        <w:rFonts w:ascii="Californian FB" w:hAnsi="Californian FB"/>
        <w:color w:val="000080"/>
      </w:rPr>
      <w:pict>
        <v:rect id="_x0000_i1025" style="width:432.3pt;height:1.5pt" o:hralign="center" o:hrstd="t" o:hrnoshade="t" o:hr="t" fillcolor="#9c0" stroked="f"/>
      </w:pict>
    </w:r>
  </w:p>
  <w:p w:rsidR="0093659A" w:rsidRPr="00F61E49" w:rsidRDefault="0093659A" w:rsidP="0093659A">
    <w:pPr>
      <w:pStyle w:val="Footer"/>
      <w:tabs>
        <w:tab w:val="left" w:pos="8100"/>
      </w:tabs>
      <w:jc w:val="center"/>
      <w:rPr>
        <w:rFonts w:ascii="Californian FB" w:hAnsi="Californian FB"/>
        <w:color w:val="000080"/>
        <w:lang w:val="fr-CA"/>
      </w:rPr>
    </w:pPr>
    <w:r w:rsidRPr="004A7C28">
      <w:rPr>
        <w:rFonts w:ascii="Californian FB" w:hAnsi="Californian FB"/>
        <w:color w:val="000080"/>
      </w:rPr>
      <w:t>3100 Foul Bay Road, Victoria, B</w:t>
    </w:r>
    <w:r>
      <w:rPr>
        <w:rFonts w:ascii="Californian FB" w:hAnsi="Californian FB"/>
        <w:color w:val="000080"/>
      </w:rPr>
      <w:t>.</w:t>
    </w:r>
    <w:r w:rsidRPr="004A7C28">
      <w:rPr>
        <w:rFonts w:ascii="Californian FB" w:hAnsi="Californian FB"/>
        <w:color w:val="000080"/>
      </w:rPr>
      <w:t>C</w:t>
    </w:r>
    <w:r>
      <w:rPr>
        <w:rFonts w:ascii="Californian FB" w:hAnsi="Californian FB"/>
        <w:color w:val="000080"/>
      </w:rPr>
      <w:t>.</w:t>
    </w:r>
    <w:r w:rsidRPr="004A7C28">
      <w:rPr>
        <w:rFonts w:ascii="Californian FB" w:hAnsi="Californian FB"/>
        <w:color w:val="000080"/>
      </w:rPr>
      <w:t xml:space="preserve">  </w:t>
    </w:r>
    <w:r w:rsidRPr="00F61E49">
      <w:rPr>
        <w:rFonts w:ascii="Californian FB" w:hAnsi="Californian FB"/>
        <w:color w:val="000080"/>
        <w:lang w:val="fr-CA"/>
      </w:rPr>
      <w:t xml:space="preserve">V8P 5J2  Phone: 370-3655  </w:t>
    </w:r>
  </w:p>
  <w:p w:rsidR="0093659A" w:rsidRPr="00F61E49" w:rsidRDefault="0093659A" w:rsidP="0093659A">
    <w:pPr>
      <w:pStyle w:val="Footer"/>
      <w:jc w:val="center"/>
      <w:rPr>
        <w:rFonts w:ascii="Californian FB" w:hAnsi="Californian FB"/>
        <w:color w:val="000080"/>
        <w:lang w:val="fr-CA"/>
      </w:rPr>
    </w:pPr>
    <w:r w:rsidRPr="00F61E49">
      <w:rPr>
        <w:rFonts w:ascii="Californian FB" w:hAnsi="Californian FB"/>
        <w:color w:val="000080"/>
        <w:lang w:val="fr-CA"/>
      </w:rPr>
      <w:t>www.camosunfaculty.ca</w:t>
    </w:r>
  </w:p>
  <w:p w:rsidR="0093659A" w:rsidRDefault="00936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E41" w:rsidRDefault="00E44E41" w:rsidP="0093659A">
      <w:pPr>
        <w:spacing w:after="0" w:line="240" w:lineRule="auto"/>
      </w:pPr>
      <w:r>
        <w:separator/>
      </w:r>
    </w:p>
  </w:footnote>
  <w:footnote w:type="continuationSeparator" w:id="0">
    <w:p w:rsidR="00E44E41" w:rsidRDefault="00E44E41" w:rsidP="0093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9F" w:rsidRDefault="00194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9A" w:rsidRDefault="0093659A" w:rsidP="0093659A">
    <w:pPr>
      <w:pStyle w:val="Header"/>
      <w:jc w:val="center"/>
    </w:pPr>
    <w:r w:rsidRPr="0093659A">
      <w:rPr>
        <w:noProof/>
        <w:lang w:val="en-US" w:eastAsia="en-US"/>
      </w:rPr>
      <w:drawing>
        <wp:inline distT="0" distB="0" distL="0" distR="0">
          <wp:extent cx="2693872" cy="914075"/>
          <wp:effectExtent l="19050" t="0" r="0" b="0"/>
          <wp:docPr id="2" name="Picture 0" descr="ccf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fa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4186" cy="914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59A" w:rsidRDefault="00FC5F19" w:rsidP="0093659A">
    <w:pPr>
      <w:pStyle w:val="Header"/>
      <w:jc w:val="center"/>
    </w:pPr>
    <w:r w:rsidRPr="00FC5F19">
      <w:rPr>
        <w:rFonts w:ascii="Calibri" w:eastAsia="Calibri" w:hAnsi="Calibri" w:cs="Times New Roman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33940A3" wp14:editId="66717B70">
          <wp:simplePos x="0" y="0"/>
          <wp:positionH relativeFrom="column">
            <wp:posOffset>817880</wp:posOffset>
          </wp:positionH>
          <wp:positionV relativeFrom="paragraph">
            <wp:posOffset>45720</wp:posOffset>
          </wp:positionV>
          <wp:extent cx="3898265" cy="1022985"/>
          <wp:effectExtent l="0" t="0" r="6985" b="5715"/>
          <wp:wrapThrough wrapText="bothSides">
            <wp:wrapPolygon edited="0">
              <wp:start x="0" y="0"/>
              <wp:lineTo x="0" y="21318"/>
              <wp:lineTo x="21533" y="21318"/>
              <wp:lineTo x="2153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falogoforweb5-1024x26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265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5E71"/>
    <w:multiLevelType w:val="hybridMultilevel"/>
    <w:tmpl w:val="9DB21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72D57"/>
    <w:multiLevelType w:val="hybridMultilevel"/>
    <w:tmpl w:val="55E81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17"/>
    <w:rsid w:val="00057877"/>
    <w:rsid w:val="00110D17"/>
    <w:rsid w:val="0019469F"/>
    <w:rsid w:val="0046713D"/>
    <w:rsid w:val="00487CC2"/>
    <w:rsid w:val="0080097C"/>
    <w:rsid w:val="008673A7"/>
    <w:rsid w:val="0093659A"/>
    <w:rsid w:val="00972085"/>
    <w:rsid w:val="00B41716"/>
    <w:rsid w:val="00D05628"/>
    <w:rsid w:val="00E44E41"/>
    <w:rsid w:val="00FC5F19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4CCC74A3"/>
  <w15:docId w15:val="{B37B1EBB-1906-410E-A40B-B49BF1F6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9A"/>
  </w:style>
  <w:style w:type="paragraph" w:styleId="Footer">
    <w:name w:val="footer"/>
    <w:basedOn w:val="Normal"/>
    <w:link w:val="FooterChar"/>
    <w:unhideWhenUsed/>
    <w:rsid w:val="0093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59A"/>
  </w:style>
  <w:style w:type="character" w:styleId="Hyperlink">
    <w:name w:val="Hyperlink"/>
    <w:basedOn w:val="DefaultParagraphFont"/>
    <w:uiPriority w:val="99"/>
    <w:unhideWhenUsed/>
    <w:rsid w:val="004671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4F5B-41BB-4F85-AF4B-22D4E4E5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 Ford</dc:creator>
  <cp:lastModifiedBy>Autumn Frimann</cp:lastModifiedBy>
  <cp:revision>2</cp:revision>
  <dcterms:created xsi:type="dcterms:W3CDTF">2017-04-04T19:47:00Z</dcterms:created>
  <dcterms:modified xsi:type="dcterms:W3CDTF">2017-04-04T19:47:00Z</dcterms:modified>
</cp:coreProperties>
</file>